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96A" w:rsidRPr="00A4394A" w:rsidRDefault="00EB001A">
      <w:pPr>
        <w:rPr>
          <w:b/>
          <w:bCs/>
          <w:sz w:val="28"/>
          <w:szCs w:val="28"/>
        </w:rPr>
      </w:pPr>
      <w:r w:rsidRPr="00A4394A">
        <w:rPr>
          <w:b/>
          <w:bCs/>
          <w:sz w:val="28"/>
          <w:szCs w:val="28"/>
        </w:rPr>
        <w:t>Révision de la charte d’aménagement des espaces publics et naturels</w:t>
      </w:r>
      <w:r w:rsidR="00341B3B" w:rsidRPr="00A4394A">
        <w:rPr>
          <w:b/>
          <w:bCs/>
          <w:sz w:val="28"/>
          <w:szCs w:val="28"/>
        </w:rPr>
        <w:t xml:space="preserve"> </w:t>
      </w:r>
    </w:p>
    <w:p w:rsidR="0033796A" w:rsidRDefault="00EB001A">
      <w:r>
        <w:t xml:space="preserve">Mardi 17 septembre de 10h à 12h30 au </w:t>
      </w:r>
      <w:proofErr w:type="spellStart"/>
      <w:r>
        <w:t>Shadok</w:t>
      </w:r>
      <w:proofErr w:type="spellEnd"/>
      <w:r>
        <w:t xml:space="preserve"> sur la presqu’île André Malraux</w:t>
      </w:r>
    </w:p>
    <w:p w:rsidR="00A15A1F" w:rsidRDefault="0033796A" w:rsidP="00EB001A">
      <w:r>
        <w:t xml:space="preserve">Présents : </w:t>
      </w:r>
      <w:r w:rsidR="00EB001A">
        <w:t xml:space="preserve">Corentin Calvez, Marie Madeleine Leroy, Arnaud de Coral </w:t>
      </w:r>
    </w:p>
    <w:p w:rsidR="0033796A" w:rsidRDefault="0033796A"/>
    <w:p w:rsidR="00701A01" w:rsidRPr="00FA62AD" w:rsidRDefault="00EB001A">
      <w:pPr>
        <w:rPr>
          <w:color w:val="70AD47" w:themeColor="accent6"/>
          <w:sz w:val="28"/>
          <w:szCs w:val="28"/>
        </w:rPr>
      </w:pPr>
      <w:r>
        <w:rPr>
          <w:color w:val="70AD47" w:themeColor="accent6"/>
          <w:sz w:val="28"/>
          <w:szCs w:val="28"/>
        </w:rPr>
        <w:t xml:space="preserve">Libellé de la convocation </w:t>
      </w:r>
    </w:p>
    <w:tbl>
      <w:tblPr>
        <w:tblW w:w="5000" w:type="pct"/>
        <w:tblCellMar>
          <w:left w:w="0" w:type="dxa"/>
          <w:right w:w="0" w:type="dxa"/>
        </w:tblCellMar>
        <w:tblLook w:val="04A0" w:firstRow="1" w:lastRow="0" w:firstColumn="1" w:lastColumn="0" w:noHBand="0" w:noVBand="1"/>
      </w:tblPr>
      <w:tblGrid>
        <w:gridCol w:w="9066"/>
      </w:tblGrid>
      <w:tr w:rsidR="00EB001A" w:rsidRPr="00EB001A" w:rsidTr="00EB001A">
        <w:tc>
          <w:tcPr>
            <w:tcW w:w="0" w:type="auto"/>
            <w:tcMar>
              <w:top w:w="0" w:type="dxa"/>
              <w:left w:w="225" w:type="dxa"/>
              <w:bottom w:w="0" w:type="dxa"/>
              <w:right w:w="225" w:type="dxa"/>
            </w:tcMar>
            <w:hideMark/>
          </w:tcPr>
          <w:p w:rsidR="00EB001A" w:rsidRPr="00EB001A" w:rsidRDefault="00EB001A" w:rsidP="00EB001A">
            <w:pPr>
              <w:spacing w:line="300" w:lineRule="atLeast"/>
              <w:rPr>
                <w:rFonts w:eastAsia="Times New Roman" w:cstheme="majorHAnsi"/>
                <w:kern w:val="0"/>
                <w:szCs w:val="22"/>
                <w:lang w:eastAsia="fr-FR"/>
                <w14:ligatures w14:val="none"/>
              </w:rPr>
            </w:pPr>
            <w:r w:rsidRPr="00EB001A">
              <w:rPr>
                <w:rFonts w:eastAsia="Times New Roman" w:cstheme="majorHAnsi"/>
                <w:kern w:val="0"/>
                <w:szCs w:val="22"/>
                <w:lang w:eastAsia="fr-FR"/>
                <w14:ligatures w14:val="none"/>
              </w:rPr>
              <w:t xml:space="preserve">L'Eurométropole engage la révision de la Charte d'aménagement des espaces publics et naturels. Le service Ingénierie urbaine et la Direction Transitions énergie climat souhaitent offrir aux membres du réseau PACTE l'occasion de rencontrer les services de l'Eurométropole autour de plusieurs temps de co-construction. Ces ateliers viseront à adapter la charte aux évolutions des métiers de l’aménagement en matière de transition écologique. </w:t>
            </w:r>
          </w:p>
        </w:tc>
      </w:tr>
      <w:tr w:rsidR="00EB001A" w:rsidRPr="00EB001A" w:rsidTr="00EB001A">
        <w:trPr>
          <w:trHeight w:val="225"/>
        </w:trPr>
        <w:tc>
          <w:tcPr>
            <w:tcW w:w="0" w:type="auto"/>
            <w:hideMark/>
          </w:tcPr>
          <w:p w:rsidR="00EB001A" w:rsidRPr="00EB001A" w:rsidRDefault="00EB001A" w:rsidP="00EB001A">
            <w:pPr>
              <w:spacing w:line="30" w:lineRule="atLeast"/>
              <w:rPr>
                <w:rFonts w:ascii="Tahoma" w:eastAsia="Times New Roman" w:hAnsi="Tahoma" w:cs="Tahoma"/>
                <w:kern w:val="0"/>
                <w:sz w:val="2"/>
                <w:szCs w:val="2"/>
                <w:lang w:eastAsia="fr-FR"/>
                <w14:ligatures w14:val="none"/>
              </w:rPr>
            </w:pPr>
            <w:r w:rsidRPr="00EB001A">
              <w:rPr>
                <w:rFonts w:ascii="Tahoma" w:eastAsia="Times New Roman" w:hAnsi="Tahoma" w:cs="Tahoma"/>
                <w:kern w:val="0"/>
                <w:sz w:val="2"/>
                <w:szCs w:val="2"/>
                <w:lang w:eastAsia="fr-FR"/>
                <w14:ligatures w14:val="none"/>
              </w:rPr>
              <w:t> </w:t>
            </w:r>
          </w:p>
        </w:tc>
      </w:tr>
    </w:tbl>
    <w:p w:rsidR="00EB001A" w:rsidRPr="00EB001A" w:rsidRDefault="00EB001A" w:rsidP="00EB001A">
      <w:pPr>
        <w:rPr>
          <w:rFonts w:ascii="Times New Roman" w:eastAsia="Times New Roman" w:hAnsi="Times New Roman" w:cs="Times New Roman"/>
          <w:vanish/>
          <w:kern w:val="0"/>
          <w:sz w:val="24"/>
          <w:lang w:eastAsia="fr-FR"/>
          <w14:ligatures w14:val="none"/>
        </w:rPr>
      </w:pPr>
    </w:p>
    <w:p w:rsidR="00407D8B" w:rsidRDefault="00EB001A" w:rsidP="00253663">
      <w:pPr>
        <w:rPr>
          <w:color w:val="70AD47" w:themeColor="accent6"/>
          <w:sz w:val="28"/>
          <w:szCs w:val="28"/>
        </w:rPr>
      </w:pPr>
      <w:r>
        <w:rPr>
          <w:color w:val="70AD47" w:themeColor="accent6"/>
          <w:sz w:val="28"/>
          <w:szCs w:val="28"/>
        </w:rPr>
        <w:t>Déroulé</w:t>
      </w:r>
    </w:p>
    <w:p w:rsidR="00EB001A" w:rsidRPr="00EB001A" w:rsidRDefault="00EB001A" w:rsidP="00EB001A">
      <w:pPr>
        <w:pStyle w:val="Paragraphedeliste"/>
        <w:numPr>
          <w:ilvl w:val="0"/>
          <w:numId w:val="2"/>
        </w:numPr>
        <w:rPr>
          <w:color w:val="70AD47" w:themeColor="accent6"/>
          <w:sz w:val="28"/>
          <w:szCs w:val="28"/>
        </w:rPr>
      </w:pPr>
      <w:r w:rsidRPr="00EB001A">
        <w:t>Une trentaine de personnes présentes, dont la moitié venue de différents serv</w:t>
      </w:r>
      <w:r w:rsidR="00A4394A">
        <w:t>ic</w:t>
      </w:r>
      <w:r w:rsidRPr="00EB001A">
        <w:t xml:space="preserve">es de l’Eurométropole. </w:t>
      </w:r>
    </w:p>
    <w:p w:rsidR="00A15A1F" w:rsidRPr="00EB001A" w:rsidRDefault="00EB001A" w:rsidP="00EB001A">
      <w:pPr>
        <w:pStyle w:val="Paragraphedeliste"/>
        <w:numPr>
          <w:ilvl w:val="0"/>
          <w:numId w:val="2"/>
        </w:numPr>
        <w:rPr>
          <w:color w:val="70AD47" w:themeColor="accent6"/>
          <w:sz w:val="28"/>
          <w:szCs w:val="28"/>
        </w:rPr>
      </w:pPr>
      <w:r w:rsidRPr="00EB001A">
        <w:t xml:space="preserve">2 animateurs externes. </w:t>
      </w:r>
    </w:p>
    <w:p w:rsidR="00EB001A" w:rsidRPr="00EB001A" w:rsidRDefault="00EB001A" w:rsidP="00EB001A">
      <w:pPr>
        <w:pStyle w:val="Paragraphedeliste"/>
        <w:numPr>
          <w:ilvl w:val="0"/>
          <w:numId w:val="2"/>
        </w:numPr>
        <w:rPr>
          <w:color w:val="70AD47" w:themeColor="accent6"/>
          <w:sz w:val="28"/>
          <w:szCs w:val="28"/>
        </w:rPr>
      </w:pPr>
      <w:r w:rsidRPr="00EB001A">
        <w:t>Démarrage : présentations croisées en binômes, mais pas de remontées en grand groupe, donc difficulté d’identifier les participants</w:t>
      </w:r>
      <w:r w:rsidR="00DC08F9" w:rsidRPr="00DC08F9">
        <w:t xml:space="preserve"> </w:t>
      </w:r>
      <w:proofErr w:type="gramStart"/>
      <w:r w:rsidR="00DC08F9">
        <w:t>(</w:t>
      </w:r>
      <w:r w:rsidR="00DC08F9" w:rsidRPr="00EB001A">
        <w:t xml:space="preserve"> pas</w:t>
      </w:r>
      <w:proofErr w:type="gramEnd"/>
      <w:r w:rsidR="00DC08F9" w:rsidRPr="00EB001A">
        <w:t xml:space="preserve"> de badge</w:t>
      </w:r>
      <w:r w:rsidR="00A4394A">
        <w:t xml:space="preserve"> non plus</w:t>
      </w:r>
      <w:r w:rsidR="00DC08F9" w:rsidRPr="00EB001A">
        <w:t>, pas de pause</w:t>
      </w:r>
      <w:r w:rsidR="00DC08F9">
        <w:t>)</w:t>
      </w:r>
      <w:r w:rsidR="00DC08F9" w:rsidRPr="00EB001A">
        <w:t>.</w:t>
      </w:r>
    </w:p>
    <w:p w:rsidR="00EB001A" w:rsidRPr="00EB001A" w:rsidRDefault="00EB001A" w:rsidP="00EB001A">
      <w:pPr>
        <w:pStyle w:val="Paragraphedeliste"/>
        <w:numPr>
          <w:ilvl w:val="0"/>
          <w:numId w:val="2"/>
        </w:numPr>
        <w:rPr>
          <w:color w:val="70AD47" w:themeColor="accent6"/>
          <w:sz w:val="28"/>
          <w:szCs w:val="28"/>
        </w:rPr>
      </w:pPr>
      <w:r w:rsidRPr="00EB001A">
        <w:t xml:space="preserve">Quizz sur la charte via appli téléphone et débrief question par question qui a permis d’apprendre (difficilement) différents éléments </w:t>
      </w:r>
    </w:p>
    <w:p w:rsidR="00EB001A" w:rsidRPr="00DC08F9" w:rsidRDefault="00EB001A" w:rsidP="00EB001A">
      <w:pPr>
        <w:pStyle w:val="Paragraphedeliste"/>
        <w:numPr>
          <w:ilvl w:val="2"/>
          <w:numId w:val="2"/>
        </w:numPr>
        <w:rPr>
          <w:color w:val="70AD47" w:themeColor="accent6"/>
          <w:sz w:val="28"/>
          <w:szCs w:val="28"/>
        </w:rPr>
      </w:pPr>
      <w:r w:rsidRPr="00EB001A">
        <w:t xml:space="preserve">On est sur un </w:t>
      </w:r>
      <w:r>
        <w:t xml:space="preserve">document </w:t>
      </w:r>
      <w:proofErr w:type="spellStart"/>
      <w:r>
        <w:t>extrêment</w:t>
      </w:r>
      <w:proofErr w:type="spellEnd"/>
      <w:r>
        <w:t xml:space="preserve"> technique et extrêmement volumineux</w:t>
      </w:r>
      <w:r w:rsidR="00DC08F9">
        <w:t>. On parle de 300 fichiers, qui font chacun plusieurs dizaines</w:t>
      </w:r>
      <w:r w:rsidR="00A4394A">
        <w:t xml:space="preserve"> </w:t>
      </w:r>
      <w:r w:rsidR="00DC08F9">
        <w:t xml:space="preserve">de pages… </w:t>
      </w:r>
      <w:r w:rsidR="00A4394A">
        <w:t>voire plus. I</w:t>
      </w:r>
      <w:r w:rsidR="00DC08F9">
        <w:t>l n’y</w:t>
      </w:r>
      <w:r w:rsidR="00A4394A">
        <w:t xml:space="preserve"> </w:t>
      </w:r>
      <w:r w:rsidR="00DC08F9">
        <w:t>a pas de version synthétique d’une centaine de pages comme dans d’autres grand</w:t>
      </w:r>
      <w:r w:rsidR="00A4394A">
        <w:t>e</w:t>
      </w:r>
      <w:r w:rsidR="00DC08F9">
        <w:t>s villes. En plus, le doc n’est pas public, il est en accès sur demande, et pour un temps limité. Le texte est régulièrement mis à jour (par qui ? sur quelles bases ?)</w:t>
      </w:r>
    </w:p>
    <w:p w:rsidR="00DD11AD" w:rsidRPr="00EB001A" w:rsidRDefault="00DD11AD" w:rsidP="00DD11AD">
      <w:pPr>
        <w:pStyle w:val="Paragraphedeliste"/>
        <w:numPr>
          <w:ilvl w:val="2"/>
          <w:numId w:val="2"/>
        </w:numPr>
        <w:rPr>
          <w:color w:val="70AD47" w:themeColor="accent6"/>
          <w:sz w:val="28"/>
          <w:szCs w:val="28"/>
        </w:rPr>
      </w:pPr>
      <w:r>
        <w:t>Les fichiers portent sur l’aménagement</w:t>
      </w:r>
      <w:r w:rsidR="00D4351D">
        <w:t xml:space="preserve"> et la sécurité</w:t>
      </w:r>
      <w:r>
        <w:t xml:space="preserve">, </w:t>
      </w:r>
      <w:r w:rsidR="00A4394A">
        <w:t>l</w:t>
      </w:r>
      <w:r>
        <w:t xml:space="preserve">es matériaux et les structures, les espaces verts, </w:t>
      </w:r>
      <w:r w:rsidR="00D4351D">
        <w:t xml:space="preserve">la démarche environnementale. </w:t>
      </w:r>
    </w:p>
    <w:p w:rsidR="00DC08F9" w:rsidRPr="00DD11AD" w:rsidRDefault="00DC08F9" w:rsidP="00EB001A">
      <w:pPr>
        <w:pStyle w:val="Paragraphedeliste"/>
        <w:numPr>
          <w:ilvl w:val="2"/>
          <w:numId w:val="2"/>
        </w:numPr>
        <w:rPr>
          <w:color w:val="70AD47" w:themeColor="accent6"/>
          <w:sz w:val="28"/>
          <w:szCs w:val="28"/>
        </w:rPr>
      </w:pPr>
      <w:r>
        <w:t>Sa finalité</w:t>
      </w:r>
      <w:r w:rsidR="00D4351D">
        <w:t xml:space="preserve"> : </w:t>
      </w:r>
      <w:proofErr w:type="spellStart"/>
      <w:r>
        <w:t>homogéneiser</w:t>
      </w:r>
      <w:proofErr w:type="spellEnd"/>
      <w:r>
        <w:t xml:space="preserve"> les pratiques, les matériaux … en vue de quoi ?</w:t>
      </w:r>
      <w:r w:rsidR="00DD11AD">
        <w:t> la gestion et la maîtrise des coûts</w:t>
      </w:r>
      <w:r w:rsidR="00D4351D">
        <w:t xml:space="preserve"> (surtout)</w:t>
      </w:r>
      <w:r w:rsidR="00DD11AD">
        <w:t>, la sécurité, la vie des usagers (propreté, politique), l’environnement, l’esthétique …</w:t>
      </w:r>
      <w:r w:rsidR="00A4394A">
        <w:t xml:space="preserve"> et donc maintenant la transition écologique. </w:t>
      </w:r>
    </w:p>
    <w:p w:rsidR="00D4351D" w:rsidRPr="00D4351D" w:rsidRDefault="00DD11AD" w:rsidP="00DD11AD">
      <w:pPr>
        <w:pStyle w:val="Paragraphedeliste"/>
        <w:numPr>
          <w:ilvl w:val="1"/>
          <w:numId w:val="2"/>
        </w:numPr>
        <w:rPr>
          <w:color w:val="70AD47" w:themeColor="accent6"/>
          <w:sz w:val="28"/>
          <w:szCs w:val="28"/>
        </w:rPr>
      </w:pPr>
      <w:r>
        <w:t>World Café sur 4 tables</w:t>
      </w:r>
      <w:r w:rsidR="008B698E">
        <w:t xml:space="preserve"> : Parmi les évolutions pratiques, qu’est-ce qui relève de l’aménagement durable dans l’Aménagement et la sécurité (table 1) la démarche environnementale (table 2) </w:t>
      </w:r>
      <w:r w:rsidR="00D4351D">
        <w:t xml:space="preserve">les espaces verts (table 3) les matériaux et structures (table 4) </w:t>
      </w:r>
      <w:r>
        <w:t xml:space="preserve">et nous avons participé </w:t>
      </w:r>
    </w:p>
    <w:p w:rsidR="00D4351D" w:rsidRPr="00D4351D" w:rsidRDefault="00DD11AD" w:rsidP="00D4351D">
      <w:pPr>
        <w:pStyle w:val="Paragraphedeliste"/>
        <w:numPr>
          <w:ilvl w:val="2"/>
          <w:numId w:val="2"/>
        </w:numPr>
        <w:rPr>
          <w:color w:val="70AD47" w:themeColor="accent6"/>
          <w:sz w:val="28"/>
          <w:szCs w:val="28"/>
        </w:rPr>
      </w:pPr>
      <w:proofErr w:type="gramStart"/>
      <w:r>
        <w:t>à</w:t>
      </w:r>
      <w:proofErr w:type="gramEnd"/>
      <w:r>
        <w:t xml:space="preserve"> la table espaces verts</w:t>
      </w:r>
      <w:r w:rsidR="00D4351D">
        <w:t xml:space="preserve">, </w:t>
      </w:r>
      <w:proofErr w:type="spellStart"/>
      <w:r w:rsidR="00D4351D">
        <w:t>chap</w:t>
      </w:r>
      <w:proofErr w:type="spellEnd"/>
      <w:r w:rsidR="00D4351D">
        <w:t xml:space="preserve"> 6 de la charte : aires ludiques et sportives, Charte de l’arbre, fleurissement, jardins familiaux, jeux d’eau et arrosage automatique, mobiliers, parcs squares et promenades vertes. </w:t>
      </w:r>
    </w:p>
    <w:p w:rsidR="00DD11AD" w:rsidRPr="00DD11AD" w:rsidRDefault="00DD11AD" w:rsidP="00D4351D">
      <w:pPr>
        <w:pStyle w:val="Paragraphedeliste"/>
        <w:numPr>
          <w:ilvl w:val="2"/>
          <w:numId w:val="2"/>
        </w:numPr>
        <w:rPr>
          <w:color w:val="70AD47" w:themeColor="accent6"/>
          <w:sz w:val="28"/>
          <w:szCs w:val="28"/>
        </w:rPr>
      </w:pPr>
      <w:proofErr w:type="gramStart"/>
      <w:r>
        <w:t>puis</w:t>
      </w:r>
      <w:proofErr w:type="gramEnd"/>
      <w:r>
        <w:t xml:space="preserve"> à la table environnement</w:t>
      </w:r>
      <w:r w:rsidR="00D4351D">
        <w:t xml:space="preserve"> : </w:t>
      </w:r>
      <w:proofErr w:type="spellStart"/>
      <w:r w:rsidR="00D4351D">
        <w:t>chap</w:t>
      </w:r>
      <w:proofErr w:type="spellEnd"/>
      <w:r w:rsidR="00D4351D">
        <w:t xml:space="preserve"> 4 de la charte (biodiversité, bruit, cahiers d’écoconception, TVB, zéro pesticide)</w:t>
      </w:r>
      <w:r>
        <w:t xml:space="preserve"> </w:t>
      </w:r>
    </w:p>
    <w:p w:rsidR="00DD11AD" w:rsidRPr="00DD11AD" w:rsidRDefault="00DD11AD" w:rsidP="00DD11AD">
      <w:pPr>
        <w:pStyle w:val="Paragraphedeliste"/>
        <w:numPr>
          <w:ilvl w:val="1"/>
          <w:numId w:val="2"/>
        </w:numPr>
        <w:rPr>
          <w:color w:val="70AD47" w:themeColor="accent6"/>
          <w:sz w:val="28"/>
          <w:szCs w:val="28"/>
        </w:rPr>
      </w:pPr>
      <w:r>
        <w:t xml:space="preserve">Parmi tout ce qui a été dit, je retiens quelques remarques de fond : </w:t>
      </w:r>
    </w:p>
    <w:p w:rsidR="00DD11AD" w:rsidRPr="00AC4374" w:rsidRDefault="00DD11AD" w:rsidP="00DD11AD">
      <w:pPr>
        <w:pStyle w:val="Paragraphedeliste"/>
        <w:numPr>
          <w:ilvl w:val="2"/>
          <w:numId w:val="2"/>
        </w:numPr>
        <w:rPr>
          <w:color w:val="70AD47" w:themeColor="accent6"/>
          <w:szCs w:val="22"/>
        </w:rPr>
      </w:pPr>
      <w:r w:rsidRPr="00DD11AD">
        <w:rPr>
          <w:color w:val="000000" w:themeColor="text1"/>
          <w:szCs w:val="22"/>
        </w:rPr>
        <w:t>Aucune stra</w:t>
      </w:r>
      <w:r>
        <w:rPr>
          <w:color w:val="000000" w:themeColor="text1"/>
          <w:szCs w:val="22"/>
        </w:rPr>
        <w:t xml:space="preserve">tégie globale n’est présentée en début de charte. Il faudrait qu’il y en ait. Proposition que notre collectif </w:t>
      </w:r>
      <w:r w:rsidR="00A4394A">
        <w:rPr>
          <w:color w:val="000000" w:themeColor="text1"/>
          <w:szCs w:val="22"/>
        </w:rPr>
        <w:t xml:space="preserve">PACTE </w:t>
      </w:r>
      <w:r>
        <w:rPr>
          <w:color w:val="000000" w:themeColor="text1"/>
          <w:szCs w:val="22"/>
        </w:rPr>
        <w:t xml:space="preserve">fasse des propositions, à valider ensuite par une instance ad hoc. </w:t>
      </w:r>
    </w:p>
    <w:p w:rsidR="00AC4374" w:rsidRPr="00AC4374" w:rsidRDefault="00AC4374" w:rsidP="00DD11AD">
      <w:pPr>
        <w:pStyle w:val="Paragraphedeliste"/>
        <w:numPr>
          <w:ilvl w:val="2"/>
          <w:numId w:val="2"/>
        </w:numPr>
        <w:rPr>
          <w:color w:val="70AD47" w:themeColor="accent6"/>
          <w:szCs w:val="22"/>
        </w:rPr>
      </w:pPr>
      <w:r>
        <w:rPr>
          <w:color w:val="000000" w:themeColor="text1"/>
          <w:szCs w:val="22"/>
        </w:rPr>
        <w:t>Qui sont les bénéficiaires en fin de compte ?  Les comptes publics ? Le grand public ? Mais est-ce que la faune et la flore sont également considérés comme bénéficiaires à part entière ? (</w:t>
      </w:r>
      <w:proofErr w:type="gramStart"/>
      <w:r>
        <w:rPr>
          <w:color w:val="000000" w:themeColor="text1"/>
          <w:szCs w:val="22"/>
        </w:rPr>
        <w:t>par</w:t>
      </w:r>
      <w:proofErr w:type="gramEnd"/>
      <w:r>
        <w:rPr>
          <w:color w:val="000000" w:themeColor="text1"/>
          <w:szCs w:val="22"/>
        </w:rPr>
        <w:t xml:space="preserve"> ex dans les indicateurs de qualité de l’air …)</w:t>
      </w:r>
    </w:p>
    <w:p w:rsidR="00AC4374" w:rsidRPr="00DD11AD" w:rsidRDefault="00A4394A" w:rsidP="00DD11AD">
      <w:pPr>
        <w:pStyle w:val="Paragraphedeliste"/>
        <w:numPr>
          <w:ilvl w:val="2"/>
          <w:numId w:val="2"/>
        </w:numPr>
        <w:rPr>
          <w:color w:val="70AD47" w:themeColor="accent6"/>
          <w:szCs w:val="22"/>
        </w:rPr>
      </w:pPr>
      <w:r>
        <w:rPr>
          <w:color w:val="000000" w:themeColor="text1"/>
          <w:szCs w:val="22"/>
        </w:rPr>
        <w:t>Quelle</w:t>
      </w:r>
      <w:r w:rsidR="00AC4374">
        <w:rPr>
          <w:color w:val="000000" w:themeColor="text1"/>
          <w:szCs w:val="22"/>
        </w:rPr>
        <w:t xml:space="preserve"> pratique des concertations ? Sont-ce des exercices d’expression sans suite ? Quelle prise en compte ? Quel portage dans la durée ?</w:t>
      </w:r>
    </w:p>
    <w:p w:rsidR="00DD11AD" w:rsidRPr="00DD11AD" w:rsidRDefault="00DD11AD" w:rsidP="00DD11AD">
      <w:pPr>
        <w:pStyle w:val="Paragraphedeliste"/>
        <w:numPr>
          <w:ilvl w:val="2"/>
          <w:numId w:val="2"/>
        </w:numPr>
        <w:rPr>
          <w:color w:val="70AD47" w:themeColor="accent6"/>
          <w:szCs w:val="22"/>
        </w:rPr>
      </w:pPr>
      <w:r>
        <w:rPr>
          <w:color w:val="000000" w:themeColor="text1"/>
          <w:szCs w:val="22"/>
        </w:rPr>
        <w:t xml:space="preserve">Comment cette charte peut </w:t>
      </w:r>
      <w:r w:rsidR="00D4351D">
        <w:rPr>
          <w:color w:val="000000" w:themeColor="text1"/>
          <w:szCs w:val="22"/>
        </w:rPr>
        <w:t>éviter de se</w:t>
      </w:r>
      <w:r>
        <w:rPr>
          <w:color w:val="000000" w:themeColor="text1"/>
          <w:szCs w:val="22"/>
        </w:rPr>
        <w:t xml:space="preserve"> </w:t>
      </w:r>
      <w:r w:rsidR="00A4394A">
        <w:rPr>
          <w:color w:val="000000" w:themeColor="text1"/>
          <w:szCs w:val="22"/>
        </w:rPr>
        <w:t>borner</w:t>
      </w:r>
      <w:r>
        <w:rPr>
          <w:color w:val="000000" w:themeColor="text1"/>
          <w:szCs w:val="22"/>
        </w:rPr>
        <w:t xml:space="preserve"> à des limitations (limitantes …) </w:t>
      </w:r>
      <w:r w:rsidR="00D4351D">
        <w:rPr>
          <w:color w:val="000000" w:themeColor="text1"/>
          <w:szCs w:val="22"/>
        </w:rPr>
        <w:t>et</w:t>
      </w:r>
      <w:r>
        <w:rPr>
          <w:color w:val="000000" w:themeColor="text1"/>
          <w:szCs w:val="22"/>
        </w:rPr>
        <w:t xml:space="preserve"> aussi favoriser l’innovation dans une période où les changements vont accélérer</w:t>
      </w:r>
    </w:p>
    <w:p w:rsidR="00EB001A" w:rsidRPr="00AC4374" w:rsidRDefault="00AC4374" w:rsidP="00A15A1F">
      <w:pPr>
        <w:pStyle w:val="Paragraphedeliste"/>
        <w:numPr>
          <w:ilvl w:val="2"/>
          <w:numId w:val="2"/>
        </w:numPr>
        <w:rPr>
          <w:color w:val="70AD47" w:themeColor="accent6"/>
          <w:szCs w:val="22"/>
        </w:rPr>
      </w:pPr>
      <w:r>
        <w:rPr>
          <w:color w:val="000000" w:themeColor="text1"/>
          <w:szCs w:val="22"/>
        </w:rPr>
        <w:t xml:space="preserve">Comment ces normes - qui sont destinés à l’espace public - </w:t>
      </w:r>
      <w:proofErr w:type="spellStart"/>
      <w:r>
        <w:rPr>
          <w:color w:val="000000" w:themeColor="text1"/>
          <w:szCs w:val="22"/>
        </w:rPr>
        <w:t>sont elles</w:t>
      </w:r>
      <w:proofErr w:type="spellEnd"/>
      <w:r>
        <w:rPr>
          <w:color w:val="000000" w:themeColor="text1"/>
          <w:szCs w:val="22"/>
        </w:rPr>
        <w:t xml:space="preserve"> adossées à l’espace privé. Quelle prise en compte ? Articulation ? etc… </w:t>
      </w:r>
    </w:p>
    <w:p w:rsidR="00A4394A" w:rsidRDefault="00A4394A" w:rsidP="00A15A1F">
      <w:pPr>
        <w:rPr>
          <w:color w:val="70AD47" w:themeColor="accent6"/>
          <w:sz w:val="28"/>
          <w:szCs w:val="28"/>
        </w:rPr>
      </w:pPr>
    </w:p>
    <w:p w:rsidR="00A15A1F" w:rsidRDefault="00EB001A" w:rsidP="00A15A1F">
      <w:pPr>
        <w:rPr>
          <w:color w:val="000000" w:themeColor="text1"/>
          <w:szCs w:val="22"/>
        </w:rPr>
      </w:pPr>
      <w:r>
        <w:rPr>
          <w:color w:val="70AD47" w:themeColor="accent6"/>
          <w:sz w:val="28"/>
          <w:szCs w:val="28"/>
        </w:rPr>
        <w:t xml:space="preserve">Ce que ça peut ouvrir comme </w:t>
      </w:r>
      <w:proofErr w:type="gramStart"/>
      <w:r>
        <w:rPr>
          <w:color w:val="70AD47" w:themeColor="accent6"/>
          <w:sz w:val="28"/>
          <w:szCs w:val="28"/>
        </w:rPr>
        <w:t xml:space="preserve">pistes </w:t>
      </w:r>
      <w:r w:rsidR="00A15A1F">
        <w:rPr>
          <w:color w:val="70AD47" w:themeColor="accent6"/>
          <w:sz w:val="28"/>
          <w:szCs w:val="28"/>
        </w:rPr>
        <w:t>:</w:t>
      </w:r>
      <w:r w:rsidR="003A1274">
        <w:rPr>
          <w:color w:val="000000" w:themeColor="text1"/>
          <w:szCs w:val="22"/>
        </w:rPr>
        <w:t>.</w:t>
      </w:r>
      <w:proofErr w:type="gramEnd"/>
      <w:r w:rsidR="003A1274">
        <w:rPr>
          <w:color w:val="000000" w:themeColor="text1"/>
          <w:szCs w:val="22"/>
        </w:rPr>
        <w:t xml:space="preserve"> </w:t>
      </w:r>
    </w:p>
    <w:p w:rsidR="00A4394A" w:rsidRPr="00D4351D" w:rsidRDefault="00AC4374" w:rsidP="001B4E09">
      <w:pPr>
        <w:pStyle w:val="Paragraphedeliste"/>
        <w:numPr>
          <w:ilvl w:val="0"/>
          <w:numId w:val="6"/>
        </w:numPr>
        <w:rPr>
          <w:color w:val="000000" w:themeColor="text1"/>
          <w:szCs w:val="22"/>
        </w:rPr>
      </w:pPr>
      <w:r w:rsidRPr="00D4351D">
        <w:rPr>
          <w:color w:val="000000" w:themeColor="text1"/>
          <w:szCs w:val="22"/>
        </w:rPr>
        <w:lastRenderedPageBreak/>
        <w:t xml:space="preserve">Pas évident. </w:t>
      </w:r>
      <w:r w:rsidR="00D4351D" w:rsidRPr="00D4351D">
        <w:rPr>
          <w:color w:val="000000" w:themeColor="text1"/>
          <w:szCs w:val="22"/>
        </w:rPr>
        <w:t>Si nous arrivons à mettre la main sur la Charte, y (ce qu’Arnaud va entreprendre),y</w:t>
      </w:r>
      <w:r w:rsidR="00A4394A" w:rsidRPr="00D4351D">
        <w:rPr>
          <w:color w:val="000000" w:themeColor="text1"/>
          <w:szCs w:val="22"/>
        </w:rPr>
        <w:t xml:space="preserve"> a </w:t>
      </w:r>
      <w:proofErr w:type="spellStart"/>
      <w:r w:rsidR="00A4394A" w:rsidRPr="00D4351D">
        <w:rPr>
          <w:color w:val="000000" w:themeColor="text1"/>
          <w:szCs w:val="22"/>
        </w:rPr>
        <w:t>t il</w:t>
      </w:r>
      <w:proofErr w:type="spellEnd"/>
      <w:r w:rsidR="00A4394A" w:rsidRPr="00D4351D">
        <w:rPr>
          <w:color w:val="000000" w:themeColor="text1"/>
          <w:szCs w:val="22"/>
        </w:rPr>
        <w:t xml:space="preserve"> des passages spécifiques que nous pou</w:t>
      </w:r>
      <w:r w:rsidR="00D4351D" w:rsidRPr="00D4351D">
        <w:rPr>
          <w:color w:val="000000" w:themeColor="text1"/>
          <w:szCs w:val="22"/>
        </w:rPr>
        <w:t>rri</w:t>
      </w:r>
      <w:r w:rsidR="00A4394A" w:rsidRPr="00D4351D">
        <w:rPr>
          <w:color w:val="000000" w:themeColor="text1"/>
          <w:szCs w:val="22"/>
        </w:rPr>
        <w:t xml:space="preserve">ons </w:t>
      </w:r>
      <w:r w:rsidR="00D4351D" w:rsidRPr="00D4351D">
        <w:rPr>
          <w:color w:val="000000" w:themeColor="text1"/>
          <w:szCs w:val="22"/>
        </w:rPr>
        <w:t>travailler</w:t>
      </w:r>
      <w:r w:rsidR="00A4394A" w:rsidRPr="00D4351D">
        <w:rPr>
          <w:color w:val="000000" w:themeColor="text1"/>
          <w:szCs w:val="22"/>
        </w:rPr>
        <w:t xml:space="preserve"> pour identifier des préconisations ? </w:t>
      </w:r>
    </w:p>
    <w:p w:rsidR="00DC08F9" w:rsidRDefault="00DC08F9" w:rsidP="00A15A1F">
      <w:pPr>
        <w:rPr>
          <w:color w:val="000000" w:themeColor="text1"/>
          <w:szCs w:val="22"/>
        </w:rPr>
      </w:pPr>
      <w:r>
        <w:rPr>
          <w:color w:val="000000" w:themeColor="text1"/>
          <w:szCs w:val="22"/>
        </w:rPr>
        <w:t xml:space="preserve">Prochains RDV : 15 </w:t>
      </w:r>
      <w:proofErr w:type="spellStart"/>
      <w:r>
        <w:rPr>
          <w:color w:val="000000" w:themeColor="text1"/>
          <w:szCs w:val="22"/>
        </w:rPr>
        <w:t>nov</w:t>
      </w:r>
      <w:proofErr w:type="spellEnd"/>
      <w:r>
        <w:rPr>
          <w:color w:val="000000" w:themeColor="text1"/>
          <w:szCs w:val="22"/>
        </w:rPr>
        <w:t xml:space="preserve"> après midi, plénière au Lazaret</w:t>
      </w:r>
    </w:p>
    <w:p w:rsidR="00407D8B" w:rsidRPr="00A4394A" w:rsidRDefault="00DC08F9" w:rsidP="00407D8B">
      <w:pPr>
        <w:rPr>
          <w:color w:val="000000" w:themeColor="text1"/>
          <w:szCs w:val="22"/>
        </w:rPr>
      </w:pPr>
      <w:r>
        <w:rPr>
          <w:color w:val="000000" w:themeColor="text1"/>
          <w:szCs w:val="22"/>
        </w:rPr>
        <w:t>A noter qu’il y a une newsletter envoyée chaque moi</w:t>
      </w:r>
      <w:r w:rsidR="00A4394A">
        <w:rPr>
          <w:color w:val="000000" w:themeColor="text1"/>
          <w:szCs w:val="22"/>
        </w:rPr>
        <w:t>s</w:t>
      </w:r>
    </w:p>
    <w:p w:rsidR="00407D8B" w:rsidRPr="00407D8B" w:rsidRDefault="00407D8B" w:rsidP="00407D8B"/>
    <w:sectPr w:rsidR="00407D8B" w:rsidRPr="00407D8B" w:rsidSect="00A4394A">
      <w:pgSz w:w="11900" w:h="16840"/>
      <w:pgMar w:top="1193" w:right="1417"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Titres)">
    <w:altName w:val="Calibri Ligh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D2C"/>
    <w:multiLevelType w:val="hybridMultilevel"/>
    <w:tmpl w:val="9306B33A"/>
    <w:lvl w:ilvl="0" w:tplc="EE76D17E">
      <w:start w:val="5"/>
      <w:numFmt w:val="bullet"/>
      <w:lvlText w:val="-"/>
      <w:lvlJc w:val="left"/>
      <w:pPr>
        <w:ind w:left="1068" w:hanging="360"/>
      </w:pPr>
      <w:rPr>
        <w:rFonts w:ascii="Calibri Light" w:eastAsiaTheme="minorHAnsi" w:hAnsi="Calibri Light" w:cs="Calibri Light" w:hint="default"/>
        <w:color w:val="auto"/>
        <w:sz w:val="22"/>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 w15:restartNumberingAfterBreak="0">
    <w:nsid w:val="15AA505F"/>
    <w:multiLevelType w:val="hybridMultilevel"/>
    <w:tmpl w:val="42447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B92340"/>
    <w:multiLevelType w:val="hybridMultilevel"/>
    <w:tmpl w:val="2BFA827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D40F8A"/>
    <w:multiLevelType w:val="hybridMultilevel"/>
    <w:tmpl w:val="AF1425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62572C8"/>
    <w:multiLevelType w:val="hybridMultilevel"/>
    <w:tmpl w:val="CB900DD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4B0B1B72"/>
    <w:multiLevelType w:val="hybridMultilevel"/>
    <w:tmpl w:val="6E58A24E"/>
    <w:lvl w:ilvl="0" w:tplc="EE76D17E">
      <w:start w:val="5"/>
      <w:numFmt w:val="bullet"/>
      <w:lvlText w:val="-"/>
      <w:lvlJc w:val="left"/>
      <w:pPr>
        <w:ind w:left="1800" w:hanging="360"/>
      </w:pPr>
      <w:rPr>
        <w:rFonts w:ascii="Calibri Light" w:eastAsiaTheme="minorHAnsi" w:hAnsi="Calibri Light" w:cs="Calibri Light" w:hint="default"/>
        <w:color w:val="auto"/>
        <w:sz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927228354">
    <w:abstractNumId w:val="2"/>
  </w:num>
  <w:num w:numId="2" w16cid:durableId="1960987206">
    <w:abstractNumId w:val="4"/>
  </w:num>
  <w:num w:numId="3" w16cid:durableId="1942032461">
    <w:abstractNumId w:val="1"/>
  </w:num>
  <w:num w:numId="4" w16cid:durableId="215748411">
    <w:abstractNumId w:val="5"/>
  </w:num>
  <w:num w:numId="5" w16cid:durableId="445926024">
    <w:abstractNumId w:val="0"/>
  </w:num>
  <w:num w:numId="6" w16cid:durableId="809247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FF"/>
    <w:rsid w:val="00163C64"/>
    <w:rsid w:val="00253663"/>
    <w:rsid w:val="0029456B"/>
    <w:rsid w:val="0033796A"/>
    <w:rsid w:val="00341B3B"/>
    <w:rsid w:val="00392720"/>
    <w:rsid w:val="003A1274"/>
    <w:rsid w:val="00407D8B"/>
    <w:rsid w:val="00481527"/>
    <w:rsid w:val="00640D8F"/>
    <w:rsid w:val="00701A01"/>
    <w:rsid w:val="00836F84"/>
    <w:rsid w:val="008B15F1"/>
    <w:rsid w:val="008B698E"/>
    <w:rsid w:val="009A5578"/>
    <w:rsid w:val="009B5AD9"/>
    <w:rsid w:val="00A15A1F"/>
    <w:rsid w:val="00A4394A"/>
    <w:rsid w:val="00A93944"/>
    <w:rsid w:val="00AC4374"/>
    <w:rsid w:val="00B95958"/>
    <w:rsid w:val="00C33717"/>
    <w:rsid w:val="00C440D0"/>
    <w:rsid w:val="00C95C33"/>
    <w:rsid w:val="00D4351D"/>
    <w:rsid w:val="00DC08F9"/>
    <w:rsid w:val="00DD11AD"/>
    <w:rsid w:val="00E95FA3"/>
    <w:rsid w:val="00EB001A"/>
    <w:rsid w:val="00EB44FF"/>
    <w:rsid w:val="00FA6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F20DC4"/>
  <w15:chartTrackingRefBased/>
  <w15:docId w15:val="{D419FBAF-476E-E04D-96C4-C2EDDB4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Calibri Light (Titres)"/>
        <w:kern w:val="2"/>
        <w:sz w:val="22"/>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5578"/>
    <w:pPr>
      <w:ind w:left="720"/>
      <w:contextualSpacing/>
    </w:pPr>
  </w:style>
  <w:style w:type="character" w:styleId="lev">
    <w:name w:val="Strong"/>
    <w:basedOn w:val="Policepardfaut"/>
    <w:uiPriority w:val="22"/>
    <w:qFormat/>
    <w:rsid w:val="00EB0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6400">
      <w:bodyDiv w:val="1"/>
      <w:marLeft w:val="0"/>
      <w:marRight w:val="0"/>
      <w:marTop w:val="0"/>
      <w:marBottom w:val="0"/>
      <w:divBdr>
        <w:top w:val="none" w:sz="0" w:space="0" w:color="auto"/>
        <w:left w:val="none" w:sz="0" w:space="0" w:color="auto"/>
        <w:bottom w:val="none" w:sz="0" w:space="0" w:color="auto"/>
        <w:right w:val="none" w:sz="0" w:space="0" w:color="auto"/>
      </w:divBdr>
      <w:divsChild>
        <w:div w:id="2047022392">
          <w:marLeft w:val="0"/>
          <w:marRight w:val="0"/>
          <w:marTop w:val="0"/>
          <w:marBottom w:val="0"/>
          <w:divBdr>
            <w:top w:val="none" w:sz="0" w:space="0" w:color="auto"/>
            <w:left w:val="none" w:sz="0" w:space="0" w:color="auto"/>
            <w:bottom w:val="none" w:sz="0" w:space="0" w:color="auto"/>
            <w:right w:val="none" w:sz="0" w:space="0" w:color="auto"/>
          </w:divBdr>
        </w:div>
        <w:div w:id="133334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590</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2024-05-20T18:21:00Z</dcterms:created>
  <dcterms:modified xsi:type="dcterms:W3CDTF">2024-09-19T15:56:00Z</dcterms:modified>
</cp:coreProperties>
</file>