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3EF9" w14:textId="1B618A84" w:rsidR="00D25DA3" w:rsidRPr="00D25DA3" w:rsidRDefault="00D25DA3" w:rsidP="00D25DA3">
      <w:pPr>
        <w:jc w:val="center"/>
        <w:rPr>
          <w:rFonts w:ascii="Arial" w:hAnsi="Arial" w:cs="Arial"/>
          <w:sz w:val="24"/>
          <w:szCs w:val="24"/>
          <w:u w:val="single"/>
        </w:rPr>
      </w:pPr>
      <w:r w:rsidRPr="00D25DA3">
        <w:rPr>
          <w:rFonts w:ascii="Arial" w:hAnsi="Arial" w:cs="Arial"/>
          <w:sz w:val="24"/>
          <w:szCs w:val="24"/>
          <w:u w:val="single"/>
        </w:rPr>
        <w:t>Entretien avec Claire Balleys</w:t>
      </w:r>
      <w:r w:rsidRPr="00D25DA3">
        <w:rPr>
          <w:rFonts w:ascii="Arial" w:hAnsi="Arial" w:cs="Arial"/>
          <w:sz w:val="24"/>
          <w:szCs w:val="24"/>
          <w:u w:val="single"/>
        </w:rPr>
        <w:t xml:space="preserve"> – Sciences Humaines –</w:t>
      </w:r>
    </w:p>
    <w:p w14:paraId="4A641D79" w14:textId="02BB22E8" w:rsidR="00D25DA3" w:rsidRPr="00D25DA3" w:rsidRDefault="00D25DA3" w:rsidP="00D25DA3">
      <w:pPr>
        <w:jc w:val="both"/>
        <w:rPr>
          <w:rFonts w:ascii="Arial" w:hAnsi="Arial" w:cs="Arial"/>
          <w:sz w:val="24"/>
          <w:szCs w:val="24"/>
        </w:rPr>
      </w:pPr>
      <w:r w:rsidRPr="00D25DA3">
        <w:rPr>
          <w:rFonts w:ascii="Arial" w:hAnsi="Arial" w:cs="Arial"/>
          <w:sz w:val="24"/>
          <w:szCs w:val="24"/>
        </w:rPr>
        <w:t>Propos recueillis par Béatrice Kammerer</w:t>
      </w:r>
    </w:p>
    <w:p w14:paraId="333C8FE7" w14:textId="7DCB7E59" w:rsidR="00D25DA3" w:rsidRDefault="00D25DA3" w:rsidP="00D25DA3">
      <w:pPr>
        <w:jc w:val="both"/>
        <w:rPr>
          <w:rFonts w:ascii="Arial" w:hAnsi="Arial" w:cs="Arial"/>
          <w:sz w:val="24"/>
          <w:szCs w:val="24"/>
        </w:rPr>
      </w:pPr>
      <w:r w:rsidRPr="00D25DA3">
        <w:rPr>
          <w:rFonts w:ascii="Arial" w:hAnsi="Arial" w:cs="Arial"/>
          <w:sz w:val="24"/>
          <w:szCs w:val="24"/>
        </w:rPr>
        <w:t>Publié le 12 février 2026, actualisé le 16 février 2026</w:t>
      </w:r>
    </w:p>
    <w:p w14:paraId="33674226" w14:textId="77777777" w:rsidR="00D25DA3" w:rsidRPr="00D25DA3" w:rsidRDefault="00D25DA3" w:rsidP="00D25DA3">
      <w:pPr>
        <w:jc w:val="both"/>
        <w:rPr>
          <w:rFonts w:ascii="Arial" w:hAnsi="Arial" w:cs="Arial"/>
          <w:sz w:val="24"/>
          <w:szCs w:val="24"/>
        </w:rPr>
      </w:pPr>
    </w:p>
    <w:p w14:paraId="236AC102" w14:textId="77777777" w:rsidR="00D25DA3" w:rsidRPr="00D25DA3" w:rsidRDefault="00D25DA3" w:rsidP="00D25DA3">
      <w:pPr>
        <w:jc w:val="both"/>
        <w:rPr>
          <w:rFonts w:ascii="Arial" w:hAnsi="Arial" w:cs="Arial"/>
          <w:sz w:val="28"/>
          <w:szCs w:val="28"/>
          <w:u w:val="single"/>
        </w:rPr>
      </w:pPr>
      <w:r w:rsidRPr="00D25DA3">
        <w:rPr>
          <w:rFonts w:ascii="Arial" w:hAnsi="Arial" w:cs="Arial"/>
          <w:sz w:val="28"/>
          <w:szCs w:val="28"/>
          <w:u w:val="single"/>
        </w:rPr>
        <w:t>« Plutôt que d’interdire les réseaux sociaux, écoutons la parole des jeunes »</w:t>
      </w:r>
    </w:p>
    <w:p w14:paraId="6CF7A6B5" w14:textId="77777777" w:rsidR="00D25DA3" w:rsidRDefault="00D25DA3" w:rsidP="00D25DA3">
      <w:pPr>
        <w:jc w:val="both"/>
        <w:rPr>
          <w:rFonts w:ascii="Arial" w:hAnsi="Arial" w:cs="Arial"/>
          <w:sz w:val="24"/>
          <w:szCs w:val="24"/>
        </w:rPr>
      </w:pPr>
      <w:r w:rsidRPr="00D25DA3">
        <w:rPr>
          <w:rFonts w:ascii="Arial" w:hAnsi="Arial" w:cs="Arial"/>
          <w:sz w:val="24"/>
          <w:szCs w:val="24"/>
        </w:rPr>
        <w:t>Le 26 janvier 2026, les députés ont adopté à une large majorité la proposition de loi interdisant l’accès aux réseaux sociaux aux mineurs de moins de quinze ans. Présentée comme une avancée protectrice face aux défaillances parentales, cette mesure constitue une solution très imparfaite aux yeux de la socio-anthropologue Claire Balleys.</w:t>
      </w:r>
    </w:p>
    <w:p w14:paraId="465F8DAC" w14:textId="419785E0" w:rsidR="00D25DA3" w:rsidRPr="00D25DA3" w:rsidRDefault="00D25DA3" w:rsidP="00D25DA3">
      <w:pPr>
        <w:jc w:val="both"/>
        <w:rPr>
          <w:rFonts w:ascii="Arial" w:hAnsi="Arial" w:cs="Arial"/>
          <w:sz w:val="24"/>
          <w:szCs w:val="24"/>
        </w:rPr>
      </w:pPr>
      <w:r w:rsidRPr="00D25DA3">
        <w:rPr>
          <w:rFonts w:ascii="Arial" w:hAnsi="Arial" w:cs="Arial"/>
          <w:sz w:val="24"/>
          <w:szCs w:val="24"/>
        </w:rPr>
        <w:drawing>
          <wp:inline distT="0" distB="0" distL="0" distR="0" wp14:anchorId="6E9E5594" wp14:editId="47B6D300">
            <wp:extent cx="5760720" cy="3840480"/>
            <wp:effectExtent l="0" t="0" r="0" b="7620"/>
            <wp:docPr id="356407269" name="Image 5" descr="Une adolescente assise sur son lit, smartphone en main, regarde l'objectif d'un air 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 adolescente assise sur son lit, smartphone en main, regarde l'objectif d'un air l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5ACAE263" w14:textId="77777777" w:rsidR="00D25DA3" w:rsidRPr="00D25DA3" w:rsidRDefault="00D25DA3" w:rsidP="00D25DA3">
      <w:pPr>
        <w:jc w:val="both"/>
        <w:rPr>
          <w:rFonts w:ascii="Arial" w:hAnsi="Arial" w:cs="Arial"/>
          <w:sz w:val="24"/>
          <w:szCs w:val="24"/>
        </w:rPr>
      </w:pPr>
      <w:r w:rsidRPr="00D25DA3">
        <w:rPr>
          <w:rFonts w:ascii="Arial" w:hAnsi="Arial" w:cs="Arial"/>
          <w:sz w:val="24"/>
          <w:szCs w:val="24"/>
        </w:rPr>
        <w:t xml:space="preserve">© Getty via </w:t>
      </w:r>
      <w:proofErr w:type="spellStart"/>
      <w:r w:rsidRPr="00D25DA3">
        <w:rPr>
          <w:rFonts w:ascii="Arial" w:hAnsi="Arial" w:cs="Arial"/>
          <w:sz w:val="24"/>
          <w:szCs w:val="24"/>
        </w:rPr>
        <w:t>Unsplash</w:t>
      </w:r>
      <w:proofErr w:type="spellEnd"/>
    </w:p>
    <w:p w14:paraId="345BE72D" w14:textId="77777777" w:rsidR="00D25DA3" w:rsidRPr="00D25DA3" w:rsidRDefault="00D25DA3" w:rsidP="00D25DA3">
      <w:pPr>
        <w:jc w:val="both"/>
        <w:rPr>
          <w:rFonts w:ascii="Arial" w:hAnsi="Arial" w:cs="Arial"/>
          <w:sz w:val="24"/>
          <w:szCs w:val="24"/>
        </w:rPr>
      </w:pPr>
      <w:r w:rsidRPr="00D25DA3">
        <w:rPr>
          <w:rFonts w:ascii="Arial" w:hAnsi="Arial" w:cs="Arial"/>
          <w:b/>
          <w:bCs/>
          <w:sz w:val="24"/>
          <w:szCs w:val="24"/>
        </w:rPr>
        <w:t>Aujourd’hui, le « bon parent » est celui qui limite et repousse au maximum l’accès aux écrans. D’où vient cette conception, qui peut paraître surprenante à l’ère du tout numérique ?</w:t>
      </w:r>
    </w:p>
    <w:p w14:paraId="44C082D0" w14:textId="77777777" w:rsidR="00D25DA3" w:rsidRPr="00D25DA3" w:rsidRDefault="00D25DA3" w:rsidP="00D25DA3">
      <w:pPr>
        <w:jc w:val="both"/>
        <w:rPr>
          <w:rFonts w:ascii="Arial" w:hAnsi="Arial" w:cs="Arial"/>
          <w:sz w:val="24"/>
          <w:szCs w:val="24"/>
        </w:rPr>
      </w:pPr>
      <w:r w:rsidRPr="00D25DA3">
        <w:rPr>
          <w:rFonts w:ascii="Arial" w:hAnsi="Arial" w:cs="Arial"/>
          <w:sz w:val="24"/>
          <w:szCs w:val="24"/>
        </w:rPr>
        <w:t xml:space="preserve">Nous vivons dans une société où chacun est invité à se penser comme entrepreneur de soi, sommé d’optimiser ses modes de vie pour développer son potentiel. Dans ce cadre, les divertissements qui ne sont pas orientés vers l’acquisition de savoir scolaire – comme l’usage des réseaux sociaux – sont perçus comme une perte de temps et doivent être encadrés dans une logique ascétique. Beaucoup de parents des classes moyennes et supérieures adhèrent à cette vision. Je me souviens d’une maman, cadre </w:t>
      </w:r>
      <w:r w:rsidRPr="00D25DA3">
        <w:rPr>
          <w:rFonts w:ascii="Arial" w:hAnsi="Arial" w:cs="Arial"/>
          <w:sz w:val="24"/>
          <w:szCs w:val="24"/>
        </w:rPr>
        <w:lastRenderedPageBreak/>
        <w:t>supérieure, qui avait instauré un système de troc avec son fils de 13 ans : il avait le droit d’aller sur YouTube à condition de visionner ensuite une émission éducative. Comme si seul l’usage scolaire faisait sens. Or, certaines pratiques de visionnage et de partage de contenu, comme des vidéos drôles ou de danses, remplissent une fonction socialisante. Il s’agit de partager avec ses pairs des références culturelles et des « délires » propres aux cultures adolescentes.</w:t>
      </w:r>
    </w:p>
    <w:p w14:paraId="28673AC2" w14:textId="77777777" w:rsidR="00D25DA3" w:rsidRPr="00D25DA3" w:rsidRDefault="00D25DA3" w:rsidP="00D25DA3">
      <w:pPr>
        <w:jc w:val="both"/>
        <w:rPr>
          <w:rFonts w:ascii="Arial" w:hAnsi="Arial" w:cs="Arial"/>
          <w:sz w:val="24"/>
          <w:szCs w:val="24"/>
        </w:rPr>
      </w:pPr>
      <w:r w:rsidRPr="00D25DA3">
        <w:rPr>
          <w:rFonts w:ascii="Arial" w:hAnsi="Arial" w:cs="Arial"/>
          <w:b/>
          <w:bCs/>
          <w:sz w:val="24"/>
          <w:szCs w:val="24"/>
        </w:rPr>
        <w:t>Est-ce la raison pour laquelle il est si difficile, pour les parents, de limiter les temps d’écran ?</w:t>
      </w:r>
    </w:p>
    <w:p w14:paraId="1B45EC1C" w14:textId="77777777" w:rsidR="00D25DA3" w:rsidRPr="00D25DA3" w:rsidRDefault="00D25DA3" w:rsidP="00D25DA3">
      <w:pPr>
        <w:jc w:val="both"/>
        <w:rPr>
          <w:rFonts w:ascii="Arial" w:hAnsi="Arial" w:cs="Arial"/>
          <w:sz w:val="24"/>
          <w:szCs w:val="24"/>
        </w:rPr>
      </w:pPr>
      <w:r w:rsidRPr="00D25DA3">
        <w:rPr>
          <w:rFonts w:ascii="Arial" w:hAnsi="Arial" w:cs="Arial"/>
          <w:sz w:val="24"/>
          <w:szCs w:val="24"/>
        </w:rPr>
        <w:t>Tout à fait. Le temps d’écran est un indicateur assez pauvre, qui regroupe pêle-mêle des activités aussi plurielles qu’écouter de la musique, parler avec ses amis, s’informer ou chercher une recette de cuisine. Or, la plupart des parents ignorent ce que font leurs enfants en ligne : comment pourraient-ils dès lors déterminer un « bon » temps d’usage ? Cela équivaudrait à dire : « tu as droit à 30 minutes de foot », sans savoir qu’un match en dure 90 ! Cette ignorance tient en partie aux algorithmes, qui personnalisent à l’extrême les fils d’actualité, mais aussi à une tendance ancienne à de dénigrer les cultures juvéniles.</w:t>
      </w:r>
    </w:p>
    <w:p w14:paraId="4DBF1729" w14:textId="4B951D1E" w:rsidR="00D25DA3" w:rsidRPr="00D25DA3" w:rsidRDefault="00D25DA3" w:rsidP="00D25DA3">
      <w:pPr>
        <w:jc w:val="both"/>
        <w:rPr>
          <w:rFonts w:ascii="Arial" w:hAnsi="Arial" w:cs="Arial"/>
          <w:sz w:val="24"/>
          <w:szCs w:val="24"/>
        </w:rPr>
      </w:pPr>
      <w:r w:rsidRPr="00D25DA3">
        <w:rPr>
          <w:rFonts w:ascii="Arial" w:hAnsi="Arial" w:cs="Arial"/>
          <w:sz w:val="24"/>
          <w:szCs w:val="24"/>
        </w:rPr>
        <w:t>Beaucoup de parents critiquent leurs ados qui « ne font que regarder des vidéos stupides » sans en avoir regardé une seule ! Il ne s’agit pas de prétendre que tous les contenus en ligne seraient de bonne qualité – la propagation des discours de haine (racisme, sexisme, mépris de classe), dont on ne parle pas assez dans l’espace médiatique, me préoccupe d’ailleurs énormément – mais on ne peut pas adopter de posture éducative efficace sans faire l’effort de s’intéresser à ce que font les jeunes. À cela s’ajoute un manque d’exemplarité des adultes, très prompts à légitimer leurs propres usages numériques, y compris intensifs. Les ados en ont marre d’être pointés du doigt alors qu’ils ne peuvent plus monter dans un bus sans voir tout le monde rivé à son téléphone.</w:t>
      </w:r>
    </w:p>
    <w:p w14:paraId="3C9EEC7E" w14:textId="77777777" w:rsidR="00D25DA3" w:rsidRPr="00D25DA3" w:rsidRDefault="00D25DA3" w:rsidP="00D25DA3">
      <w:pPr>
        <w:jc w:val="both"/>
        <w:rPr>
          <w:rFonts w:ascii="Arial" w:hAnsi="Arial" w:cs="Arial"/>
          <w:sz w:val="24"/>
          <w:szCs w:val="24"/>
        </w:rPr>
      </w:pPr>
      <w:r w:rsidRPr="00D25DA3">
        <w:rPr>
          <w:rFonts w:ascii="Arial" w:hAnsi="Arial" w:cs="Arial"/>
          <w:b/>
          <w:bCs/>
          <w:sz w:val="24"/>
          <w:szCs w:val="24"/>
        </w:rPr>
        <w:t>Le manque de régulation ne serait donc pas qu’un problème de limites éducatives, comme le sous-entendait la proposition, finalement non retenue, d’introduire un « délit de négligence numérique » parentale ?</w:t>
      </w:r>
    </w:p>
    <w:p w14:paraId="37E382B4" w14:textId="77777777" w:rsidR="00D25DA3" w:rsidRPr="00D25DA3" w:rsidRDefault="00D25DA3" w:rsidP="00D25DA3">
      <w:pPr>
        <w:jc w:val="both"/>
        <w:rPr>
          <w:rFonts w:ascii="Arial" w:hAnsi="Arial" w:cs="Arial"/>
          <w:sz w:val="24"/>
          <w:szCs w:val="24"/>
        </w:rPr>
      </w:pPr>
      <w:r w:rsidRPr="00D25DA3">
        <w:rPr>
          <w:rFonts w:ascii="Arial" w:hAnsi="Arial" w:cs="Arial"/>
          <w:sz w:val="24"/>
          <w:szCs w:val="24"/>
        </w:rPr>
        <w:t>Tous les parents ne sont pas égaux face à cette mission de régulation. On imagine souvent, à tort, que les parents de milieu modeste seraient plus laxistes, alors qu’ils disposent surtout de beaucoup moins de ressources. Il est évidemment bien plus facile de limiter les écrans quand on peut proposer des activités extrascolaires et des week-end à la montagne. À cela peut s’ajouter une peur de l’environnement extérieur et ses mauvaises influences : « </w:t>
      </w:r>
      <w:r w:rsidRPr="00D25DA3">
        <w:rPr>
          <w:rFonts w:ascii="Arial" w:hAnsi="Arial" w:cs="Arial"/>
          <w:i/>
          <w:iCs/>
          <w:sz w:val="24"/>
          <w:szCs w:val="24"/>
        </w:rPr>
        <w:t>Je préfère qu’il joue à la console plutôt qu’il traîne avec la racaille</w:t>
      </w:r>
      <w:r w:rsidRPr="00D25DA3">
        <w:rPr>
          <w:rFonts w:ascii="Arial" w:hAnsi="Arial" w:cs="Arial"/>
          <w:sz w:val="24"/>
          <w:szCs w:val="24"/>
        </w:rPr>
        <w:t> », me confiait ainsi une mère d’ado de 13 ans. En outre, pointer du doigt les parents dans leur globalité masque une réalité bien documentée par mes recherches : l’essentiel de la tâche repose en réalité sur les épaules des mères. Ce sont elles qui fixent les règles et veillent au quotidien à ce qu’elles soient respectées, au prix d’une charge mentale supplémentaire. De leur côté, les pères se montrent souvent plus dilettantes, voire incapables de réguler leurs propres usages. J’ai récolté de nombreux témoignages d’enfants résumant la situation ainsi : « </w:t>
      </w:r>
      <w:r w:rsidRPr="00D25DA3">
        <w:rPr>
          <w:rFonts w:ascii="Arial" w:hAnsi="Arial" w:cs="Arial"/>
          <w:i/>
          <w:iCs/>
          <w:sz w:val="24"/>
          <w:szCs w:val="24"/>
        </w:rPr>
        <w:t>Avec papa, c’est fait ce que je dis mais pas ce que je fais</w:t>
      </w:r>
      <w:r w:rsidRPr="00D25DA3">
        <w:rPr>
          <w:rFonts w:ascii="Arial" w:hAnsi="Arial" w:cs="Arial"/>
          <w:sz w:val="24"/>
          <w:szCs w:val="24"/>
        </w:rPr>
        <w:t> ».</w:t>
      </w:r>
    </w:p>
    <w:p w14:paraId="2E1A0091" w14:textId="77777777" w:rsidR="00D25DA3" w:rsidRPr="00D25DA3" w:rsidRDefault="00D25DA3" w:rsidP="00D25DA3">
      <w:pPr>
        <w:jc w:val="both"/>
        <w:rPr>
          <w:rFonts w:ascii="Arial" w:hAnsi="Arial" w:cs="Arial"/>
          <w:sz w:val="24"/>
          <w:szCs w:val="24"/>
        </w:rPr>
      </w:pPr>
      <w:r w:rsidRPr="00D25DA3">
        <w:rPr>
          <w:rFonts w:ascii="Arial" w:hAnsi="Arial" w:cs="Arial"/>
          <w:b/>
          <w:bCs/>
          <w:sz w:val="24"/>
          <w:szCs w:val="24"/>
        </w:rPr>
        <w:lastRenderedPageBreak/>
        <w:t>L’interdiction des réseaux sociaux aux moins de 15 ans ne pourrait-elle pas ainsi contribuer à alléger la charge des mères ?</w:t>
      </w:r>
    </w:p>
    <w:p w14:paraId="369497F6" w14:textId="77777777" w:rsidR="00D25DA3" w:rsidRPr="00D25DA3" w:rsidRDefault="00D25DA3" w:rsidP="00D25DA3">
      <w:pPr>
        <w:jc w:val="both"/>
        <w:rPr>
          <w:rFonts w:ascii="Arial" w:hAnsi="Arial" w:cs="Arial"/>
          <w:sz w:val="24"/>
          <w:szCs w:val="24"/>
        </w:rPr>
      </w:pPr>
      <w:r w:rsidRPr="00D25DA3">
        <w:rPr>
          <w:rFonts w:ascii="Arial" w:hAnsi="Arial" w:cs="Arial"/>
          <w:sz w:val="24"/>
          <w:szCs w:val="24"/>
        </w:rPr>
        <w:t>Hélas, les sciences sociales montrent depuis longtemps que les interdictions sont souvent contre-productives. La sexualité est un exemple marquant : on sait aujourd’hui qu’éduquer et informer les jeunes permet de réduire les comportements à risque alors que les tabous les renforcent. Elles renforcent la désirabilité de l’interdit, favorisent le contournement, et peuvent inhiber la parole des jeunes, notamment lorsqu’ils sont confrontés à des </w:t>
      </w:r>
      <w:hyperlink r:id="rId8" w:tooltip="Les réseaux sociaux, une caisse de résonance de la violence" w:history="1">
        <w:r w:rsidRPr="00D25DA3">
          <w:rPr>
            <w:rStyle w:val="Lienhypertexte"/>
            <w:rFonts w:ascii="Arial" w:hAnsi="Arial" w:cs="Arial"/>
            <w:sz w:val="24"/>
            <w:szCs w:val="24"/>
          </w:rPr>
          <w:t>cyberviolences</w:t>
        </w:r>
      </w:hyperlink>
      <w:r w:rsidRPr="00D25DA3">
        <w:rPr>
          <w:rFonts w:ascii="Arial" w:hAnsi="Arial" w:cs="Arial"/>
          <w:sz w:val="24"/>
          <w:szCs w:val="24"/>
        </w:rPr>
        <w:t>. En Australie, où une interdiction a été votée en 2024, mes collègues observent déjà une évolution des usages : privés d’interaction en ligne avec leurs pairs, les jeunes se tournent vers les tchats avec les intelligences artificielles. Les ados d’aujourd’hui sont les adultes de demain, ils vont interagir avec des IA et des algorithmes toute leur vie. Par conséquent, l’éducation numérique devrait être au centre des préoccupations et des actions politiques.</w:t>
      </w:r>
    </w:p>
    <w:p w14:paraId="7D9697AC" w14:textId="77777777" w:rsidR="00D25DA3" w:rsidRPr="00D25DA3" w:rsidRDefault="00D25DA3" w:rsidP="00D25DA3">
      <w:pPr>
        <w:jc w:val="both"/>
        <w:rPr>
          <w:rFonts w:ascii="Arial" w:hAnsi="Arial" w:cs="Arial"/>
          <w:sz w:val="24"/>
          <w:szCs w:val="24"/>
        </w:rPr>
      </w:pPr>
      <w:r w:rsidRPr="00D25DA3">
        <w:rPr>
          <w:rFonts w:ascii="Arial" w:hAnsi="Arial" w:cs="Arial"/>
          <w:sz w:val="24"/>
          <w:szCs w:val="24"/>
        </w:rPr>
        <w:t>Comparer l’interdiction des réseaux sociaux à celle de la cigarette ou de l’alcool est donc trompeur : il ne s’agit pas de retirer aux jeunes un produit de consommation, mais de les priver d’une pratique qui touche à leur intimité, à leur lien social, à leur rapport au savoir, au divertissement et à la liberté d’expression. Il faut considérer que les jeunes ont grandi dans un contexte hyperconnecté. Leur image a été capturée et partagée par leurs parents des milliers de fois depuis le jour de leur naissance. Grandir, c’est aussi prendre la main sur leur représentation médiatique. Cela passe par des selfies, des danses, des stories, des « délires » partagés entre pairs.</w:t>
      </w:r>
    </w:p>
    <w:p w14:paraId="6858D2CB" w14:textId="184FFB50" w:rsidR="00D25DA3" w:rsidRPr="00D25DA3" w:rsidRDefault="00D25DA3" w:rsidP="00D25DA3">
      <w:pPr>
        <w:jc w:val="both"/>
        <w:rPr>
          <w:rFonts w:ascii="Arial" w:hAnsi="Arial" w:cs="Arial"/>
          <w:sz w:val="24"/>
          <w:szCs w:val="24"/>
        </w:rPr>
      </w:pPr>
      <w:r w:rsidRPr="00D25DA3">
        <w:rPr>
          <w:rFonts w:ascii="Arial" w:hAnsi="Arial" w:cs="Arial"/>
          <w:b/>
          <w:bCs/>
          <w:sz w:val="24"/>
          <w:szCs w:val="24"/>
        </w:rPr>
        <w:t>Les réseaux sociaux exposent néanmoins les jeunes à des risques avérés – cyberharcèlement, contenus inappropriés, troubles du sommeil, image de soi dégradée – que les promoteurs de la loi ne manquent pas de rappeler…</w:t>
      </w:r>
    </w:p>
    <w:p w14:paraId="329BA072" w14:textId="77777777" w:rsidR="00D25DA3" w:rsidRPr="00D25DA3" w:rsidRDefault="00D25DA3" w:rsidP="00D25DA3">
      <w:pPr>
        <w:jc w:val="both"/>
        <w:rPr>
          <w:rFonts w:ascii="Arial" w:hAnsi="Arial" w:cs="Arial"/>
          <w:sz w:val="24"/>
          <w:szCs w:val="24"/>
        </w:rPr>
      </w:pPr>
      <w:r w:rsidRPr="00D25DA3">
        <w:rPr>
          <w:rFonts w:ascii="Arial" w:hAnsi="Arial" w:cs="Arial"/>
          <w:sz w:val="24"/>
          <w:szCs w:val="24"/>
        </w:rPr>
        <w:t xml:space="preserve">Le problème est que le discours médiatique et politique est exclusivement centré sur la pathologie, ce qui ne correspond ni au vécu de la majorité des jeunes, ni aux conclusions des chercheurs en sciences sociales qui documentent les pratiques numériques juvéniles. Sur </w:t>
      </w:r>
      <w:proofErr w:type="spellStart"/>
      <w:r w:rsidRPr="00D25DA3">
        <w:rPr>
          <w:rFonts w:ascii="Arial" w:hAnsi="Arial" w:cs="Arial"/>
          <w:sz w:val="24"/>
          <w:szCs w:val="24"/>
        </w:rPr>
        <w:t>TikTok</w:t>
      </w:r>
      <w:proofErr w:type="spellEnd"/>
      <w:r w:rsidRPr="00D25DA3">
        <w:rPr>
          <w:rFonts w:ascii="Arial" w:hAnsi="Arial" w:cs="Arial"/>
          <w:sz w:val="24"/>
          <w:szCs w:val="24"/>
        </w:rPr>
        <w:t xml:space="preserve"> par exemple, mes travaux mettent en lumière la pluralité et la richesse des contenus produits par les jeunes. Ceux-ci regorgent de créativité, d’auto-dérision, de poésie, ainsi que d’un sens de l’humour aiguisé. Il y a aussi des formes de soutien entre ados, de partage d’expériences, de résolution de conflit.</w:t>
      </w:r>
    </w:p>
    <w:p w14:paraId="0D31467E" w14:textId="04D8D66E" w:rsidR="008F5D98" w:rsidRPr="00D25DA3" w:rsidRDefault="00D25DA3" w:rsidP="00D25DA3">
      <w:pPr>
        <w:jc w:val="both"/>
        <w:rPr>
          <w:rFonts w:ascii="Arial" w:hAnsi="Arial" w:cs="Arial"/>
          <w:sz w:val="24"/>
          <w:szCs w:val="24"/>
        </w:rPr>
      </w:pPr>
      <w:r w:rsidRPr="00D25DA3">
        <w:rPr>
          <w:rFonts w:ascii="Arial" w:hAnsi="Arial" w:cs="Arial"/>
          <w:sz w:val="24"/>
          <w:szCs w:val="24"/>
        </w:rPr>
        <w:t>Chaque jour, en ligne, des jeunes s’entraident, parfois littéralement se sauvent les uns les autres. Mais cela reste invisible dans le discours médiatique traditionnel. « Les écrans » sont au contraire perçus comme la cause de tous les conflits entre parents et ados, et les jeunes le savent bien « </w:t>
      </w:r>
      <w:r w:rsidRPr="00D25DA3">
        <w:rPr>
          <w:rFonts w:ascii="Arial" w:hAnsi="Arial" w:cs="Arial"/>
          <w:i/>
          <w:iCs/>
          <w:sz w:val="24"/>
          <w:szCs w:val="24"/>
        </w:rPr>
        <w:t>Si je suis fatigué, énervé, si j’ai une mauvaise note ou mal à la tête… c’est forcément à cause de mon smartphone</w:t>
      </w:r>
      <w:r w:rsidRPr="00D25DA3">
        <w:rPr>
          <w:rFonts w:ascii="Arial" w:hAnsi="Arial" w:cs="Arial"/>
          <w:sz w:val="24"/>
          <w:szCs w:val="24"/>
        </w:rPr>
        <w:t> » me disent-ils. Il me semble que cette focalisation permet aux adultes d’éviter de s’attaquer aux problèmes sociaux systémiques, comme la montée de discours de haine ou la lutte contre les inégalités sociales. En France, 1,5 millions de mineurs vivent sous le seuil de pauvreté : les études montrent qu’un ado qui va bien dans sa vie va bien sur les réseaux sociaux. Le bien-être adolescent devrait être ainsi considéré bien au-delà de la seule sphère digitale.</w:t>
      </w:r>
    </w:p>
    <w:sectPr w:rsidR="008F5D98" w:rsidRPr="00D25DA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38953" w14:textId="77777777" w:rsidR="00ED142C" w:rsidRDefault="00ED142C" w:rsidP="00D25DA3">
      <w:pPr>
        <w:spacing w:after="0" w:line="240" w:lineRule="auto"/>
      </w:pPr>
      <w:r>
        <w:separator/>
      </w:r>
    </w:p>
  </w:endnote>
  <w:endnote w:type="continuationSeparator" w:id="0">
    <w:p w14:paraId="7358575A" w14:textId="77777777" w:rsidR="00ED142C" w:rsidRDefault="00ED142C" w:rsidP="00D2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441816"/>
      <w:docPartObj>
        <w:docPartGallery w:val="Page Numbers (Bottom of Page)"/>
        <w:docPartUnique/>
      </w:docPartObj>
    </w:sdtPr>
    <w:sdtContent>
      <w:p w14:paraId="13EB634B" w14:textId="5CC47696" w:rsidR="00D25DA3" w:rsidRDefault="00D25DA3">
        <w:pPr>
          <w:pStyle w:val="Pieddepage"/>
          <w:jc w:val="right"/>
        </w:pPr>
        <w:r>
          <w:fldChar w:fldCharType="begin"/>
        </w:r>
        <w:r>
          <w:instrText>PAGE   \* MERGEFORMAT</w:instrText>
        </w:r>
        <w:r>
          <w:fldChar w:fldCharType="separate"/>
        </w:r>
        <w:r>
          <w:t>2</w:t>
        </w:r>
        <w:r>
          <w:fldChar w:fldCharType="end"/>
        </w:r>
      </w:p>
    </w:sdtContent>
  </w:sdt>
  <w:p w14:paraId="082A87A4" w14:textId="77777777" w:rsidR="00D25DA3" w:rsidRDefault="00D25D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06FA" w14:textId="77777777" w:rsidR="00ED142C" w:rsidRDefault="00ED142C" w:rsidP="00D25DA3">
      <w:pPr>
        <w:spacing w:after="0" w:line="240" w:lineRule="auto"/>
      </w:pPr>
      <w:r>
        <w:separator/>
      </w:r>
    </w:p>
  </w:footnote>
  <w:footnote w:type="continuationSeparator" w:id="0">
    <w:p w14:paraId="6FDFAFDE" w14:textId="77777777" w:rsidR="00ED142C" w:rsidRDefault="00ED142C" w:rsidP="00D25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4449A"/>
    <w:multiLevelType w:val="multilevel"/>
    <w:tmpl w:val="0CFE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B5606"/>
    <w:multiLevelType w:val="multilevel"/>
    <w:tmpl w:val="ED40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421108"/>
    <w:multiLevelType w:val="multilevel"/>
    <w:tmpl w:val="371C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3815914">
    <w:abstractNumId w:val="1"/>
  </w:num>
  <w:num w:numId="2" w16cid:durableId="265230586">
    <w:abstractNumId w:val="0"/>
  </w:num>
  <w:num w:numId="3" w16cid:durableId="515965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A3"/>
    <w:rsid w:val="0055183A"/>
    <w:rsid w:val="008F5D98"/>
    <w:rsid w:val="00D25DA3"/>
    <w:rsid w:val="00ED14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5596"/>
  <w15:chartTrackingRefBased/>
  <w15:docId w15:val="{6683D436-9FA6-48DE-9F52-D387951A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25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25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25D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25D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25D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25D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25D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25D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25D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5D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25DA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25D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25D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25D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25D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25D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25D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25DA3"/>
    <w:rPr>
      <w:rFonts w:eastAsiaTheme="majorEastAsia" w:cstheme="majorBidi"/>
      <w:color w:val="272727" w:themeColor="text1" w:themeTint="D8"/>
    </w:rPr>
  </w:style>
  <w:style w:type="paragraph" w:styleId="Titre">
    <w:name w:val="Title"/>
    <w:basedOn w:val="Normal"/>
    <w:next w:val="Normal"/>
    <w:link w:val="TitreCar"/>
    <w:uiPriority w:val="10"/>
    <w:qFormat/>
    <w:rsid w:val="00D25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25D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25D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25D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25DA3"/>
    <w:pPr>
      <w:spacing w:before="160"/>
      <w:jc w:val="center"/>
    </w:pPr>
    <w:rPr>
      <w:i/>
      <w:iCs/>
      <w:color w:val="404040" w:themeColor="text1" w:themeTint="BF"/>
    </w:rPr>
  </w:style>
  <w:style w:type="character" w:customStyle="1" w:styleId="CitationCar">
    <w:name w:val="Citation Car"/>
    <w:basedOn w:val="Policepardfaut"/>
    <w:link w:val="Citation"/>
    <w:uiPriority w:val="29"/>
    <w:rsid w:val="00D25DA3"/>
    <w:rPr>
      <w:i/>
      <w:iCs/>
      <w:color w:val="404040" w:themeColor="text1" w:themeTint="BF"/>
    </w:rPr>
  </w:style>
  <w:style w:type="paragraph" w:styleId="Paragraphedeliste">
    <w:name w:val="List Paragraph"/>
    <w:basedOn w:val="Normal"/>
    <w:uiPriority w:val="34"/>
    <w:qFormat/>
    <w:rsid w:val="00D25DA3"/>
    <w:pPr>
      <w:ind w:left="720"/>
      <w:contextualSpacing/>
    </w:pPr>
  </w:style>
  <w:style w:type="character" w:styleId="Accentuationintense">
    <w:name w:val="Intense Emphasis"/>
    <w:basedOn w:val="Policepardfaut"/>
    <w:uiPriority w:val="21"/>
    <w:qFormat/>
    <w:rsid w:val="00D25DA3"/>
    <w:rPr>
      <w:i/>
      <w:iCs/>
      <w:color w:val="0F4761" w:themeColor="accent1" w:themeShade="BF"/>
    </w:rPr>
  </w:style>
  <w:style w:type="paragraph" w:styleId="Citationintense">
    <w:name w:val="Intense Quote"/>
    <w:basedOn w:val="Normal"/>
    <w:next w:val="Normal"/>
    <w:link w:val="CitationintenseCar"/>
    <w:uiPriority w:val="30"/>
    <w:qFormat/>
    <w:rsid w:val="00D25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25DA3"/>
    <w:rPr>
      <w:i/>
      <w:iCs/>
      <w:color w:val="0F4761" w:themeColor="accent1" w:themeShade="BF"/>
    </w:rPr>
  </w:style>
  <w:style w:type="character" w:styleId="Rfrenceintense">
    <w:name w:val="Intense Reference"/>
    <w:basedOn w:val="Policepardfaut"/>
    <w:uiPriority w:val="32"/>
    <w:qFormat/>
    <w:rsid w:val="00D25DA3"/>
    <w:rPr>
      <w:b/>
      <w:bCs/>
      <w:smallCaps/>
      <w:color w:val="0F4761" w:themeColor="accent1" w:themeShade="BF"/>
      <w:spacing w:val="5"/>
    </w:rPr>
  </w:style>
  <w:style w:type="character" w:styleId="Lienhypertexte">
    <w:name w:val="Hyperlink"/>
    <w:basedOn w:val="Policepardfaut"/>
    <w:uiPriority w:val="99"/>
    <w:unhideWhenUsed/>
    <w:rsid w:val="00D25DA3"/>
    <w:rPr>
      <w:color w:val="467886" w:themeColor="hyperlink"/>
      <w:u w:val="single"/>
    </w:rPr>
  </w:style>
  <w:style w:type="character" w:styleId="Mentionnonrsolue">
    <w:name w:val="Unresolved Mention"/>
    <w:basedOn w:val="Policepardfaut"/>
    <w:uiPriority w:val="99"/>
    <w:semiHidden/>
    <w:unhideWhenUsed/>
    <w:rsid w:val="00D25DA3"/>
    <w:rPr>
      <w:color w:val="605E5C"/>
      <w:shd w:val="clear" w:color="auto" w:fill="E1DFDD"/>
    </w:rPr>
  </w:style>
  <w:style w:type="paragraph" w:styleId="En-tte">
    <w:name w:val="header"/>
    <w:basedOn w:val="Normal"/>
    <w:link w:val="En-tteCar"/>
    <w:uiPriority w:val="99"/>
    <w:unhideWhenUsed/>
    <w:rsid w:val="00D25DA3"/>
    <w:pPr>
      <w:tabs>
        <w:tab w:val="center" w:pos="4536"/>
        <w:tab w:val="right" w:pos="9072"/>
      </w:tabs>
      <w:spacing w:after="0" w:line="240" w:lineRule="auto"/>
    </w:pPr>
  </w:style>
  <w:style w:type="character" w:customStyle="1" w:styleId="En-tteCar">
    <w:name w:val="En-tête Car"/>
    <w:basedOn w:val="Policepardfaut"/>
    <w:link w:val="En-tte"/>
    <w:uiPriority w:val="99"/>
    <w:rsid w:val="00D25DA3"/>
  </w:style>
  <w:style w:type="paragraph" w:styleId="Pieddepage">
    <w:name w:val="footer"/>
    <w:basedOn w:val="Normal"/>
    <w:link w:val="PieddepageCar"/>
    <w:uiPriority w:val="99"/>
    <w:unhideWhenUsed/>
    <w:rsid w:val="00D25D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5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shumaines.com/les-reseaux-sociaux-une-caisse-de-resonance-de-la-violence_fr_47399.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1334</Words>
  <Characters>6859</Characters>
  <Application>Microsoft Office Word</Application>
  <DocSecurity>0</DocSecurity>
  <Lines>108</Lines>
  <Paragraphs>26</Paragraphs>
  <ScaleCrop>false</ScaleCrop>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Torcq-Bartolucci</dc:creator>
  <cp:keywords/>
  <dc:description/>
  <cp:lastModifiedBy>Caroline Torcq-Bartolucci</cp:lastModifiedBy>
  <cp:revision>1</cp:revision>
  <dcterms:created xsi:type="dcterms:W3CDTF">2026-02-16T16:16:00Z</dcterms:created>
  <dcterms:modified xsi:type="dcterms:W3CDTF">2026-02-16T16:22:00Z</dcterms:modified>
</cp:coreProperties>
</file>